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55"/>
        <w:gridCol w:w="5218"/>
        <w:gridCol w:w="221"/>
        <w:gridCol w:w="146"/>
        <w:gridCol w:w="411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4FDB5BA" w:rsidR="00093CA9" w:rsidRDefault="00F95109" w:rsidP="00093CA9">
            <w:r w:rsidRPr="00F95109">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E404554" w:rsidR="00093CA9" w:rsidRDefault="00593C2C" w:rsidP="00093CA9">
            <w:r w:rsidRPr="00593C2C">
              <w:t>Governmental Regulation No. 50 of 2022 on Procedures for Taxation Rights Implementation and Obligations Fulfilment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2B59CC7" w:rsidR="00093CA9" w:rsidRDefault="00D938C2" w:rsidP="00093CA9">
            <w:hyperlink r:id="rId17" w:history="1">
              <w:r w:rsidRPr="00207844">
                <w:rPr>
                  <w:rStyle w:val="Hyperlink"/>
                </w:rPr>
                <w:t>https://web.archive.org/web/20250702090553/https:/peraturan.bpk.go.id/Download/280141/PP%20Nomor%2050%20Tahun%202022.pdf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3906FF3"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6BAB3CC" w:rsidR="00093CA9" w:rsidRDefault="00593C2C"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203E74F" w14:textId="28773F43" w:rsidR="00632D94" w:rsidRPr="00632D94" w:rsidRDefault="00632D94" w:rsidP="00632D94">
            <w:pPr>
              <w:jc w:val="both"/>
              <w:rPr>
                <w:lang w:val="en-ID"/>
              </w:rPr>
            </w:pPr>
            <w:r w:rsidRPr="00632D94">
              <w:rPr>
                <w:lang w:val="en-ID"/>
              </w:rPr>
              <w:t xml:space="preserve">The </w:t>
            </w:r>
            <w:r w:rsidR="00401049">
              <w:rPr>
                <w:lang w:val="en-ID"/>
              </w:rPr>
              <w:t>policy tool</w:t>
            </w:r>
            <w:r w:rsidRPr="00632D94">
              <w:rPr>
                <w:lang w:val="en-ID"/>
              </w:rPr>
              <w:t xml:space="preserve"> is relevant to several domains of tax law, particularly those relating to procedural obligations, digital transformation of tax administration, and environmental fiscal instruments. A key component of this policy tool, and the focus of this survey, is Chapter XIII, which specifically governs the implementation of carbon tax obligations.</w:t>
            </w:r>
          </w:p>
          <w:p w14:paraId="18257824" w14:textId="554DD16D" w:rsidR="00093CA9" w:rsidRPr="00632D94" w:rsidRDefault="00632D94" w:rsidP="00632D94">
            <w:pPr>
              <w:jc w:val="both"/>
              <w:rPr>
                <w:lang w:val="en-ID"/>
              </w:rPr>
            </w:pPr>
            <w:r w:rsidRPr="00632D94">
              <w:rPr>
                <w:lang w:val="en-ID"/>
              </w:rPr>
              <w:t>This component introduces administrative provisions for the collection, payment, and reporting of the Carbon Tax, aligning with the government’s broader climate commitments and Indonesia’s efforts to internalize environmental externalities through fiscal policy. It identifies individuals or entities that produce carbon emissions as taxpayers, mandates self-payment or collection through appointed tax collectors, and outlines obligations for reporting and record-keeping. It also imposes administrative sanctions for non-compliance and allows for exemptions under certain criteria.</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1D10D60" w:rsidR="00093CA9" w:rsidRDefault="00632D9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4A727DD" w:rsidR="00093CA9" w:rsidRPr="00173D7C" w:rsidRDefault="00632D94"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FA36CC5" w:rsidR="00093CA9" w:rsidRPr="00173D7C" w:rsidRDefault="00632D94"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EC37483" w:rsidR="00093CA9" w:rsidRDefault="00632D94" w:rsidP="00093CA9">
            <w:r>
              <w:t>President of The Republic of Indonesia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3FF2EFC" w:rsidR="00093CA9" w:rsidRPr="006B7B0D" w:rsidRDefault="00632D94" w:rsidP="00093CA9">
            <w:r>
              <w:t>Ministry of Finance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FBA6211" w:rsidR="00093CA9" w:rsidRPr="006B7B0D" w:rsidRDefault="00632D9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1C2A8C3" w:rsidR="00093CA9" w:rsidRDefault="0040104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4D10F43" w:rsidR="00093CA9" w:rsidRPr="008017F9" w:rsidRDefault="00401049" w:rsidP="00401049">
            <w:pPr>
              <w:keepNext/>
              <w:jc w:val="both"/>
              <w:rPr>
                <w:color w:val="000000" w:themeColor="text1"/>
              </w:rPr>
            </w:pPr>
            <w:r w:rsidRPr="00401049">
              <w:rPr>
                <w:color w:val="000000" w:themeColor="text1"/>
              </w:rPr>
              <w:t xml:space="preserve">As outlined in </w:t>
            </w:r>
            <w:r>
              <w:rPr>
                <w:color w:val="000000" w:themeColor="text1"/>
              </w:rPr>
              <w:t>Article</w:t>
            </w:r>
            <w:r w:rsidRPr="00401049">
              <w:rPr>
                <w:color w:val="000000" w:themeColor="text1"/>
              </w:rPr>
              <w:t xml:space="preserve"> 69–70, the policy </w:t>
            </w:r>
            <w:r>
              <w:rPr>
                <w:color w:val="000000" w:themeColor="text1"/>
              </w:rPr>
              <w:t xml:space="preserve">tool </w:t>
            </w:r>
            <w:r w:rsidRPr="00401049">
              <w:rPr>
                <w:color w:val="000000" w:themeColor="text1"/>
              </w:rPr>
              <w:t>mandates periodic reporting through Annual (SPT Tahunan) and Periodic Tax Returns (SPT Masa) for carbon tax payments. It also requires record-keeping of emission-generating activities and sales of carbon-intensive goods.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9510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9510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9510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533A18D5" w:rsidR="00D4323A" w:rsidRPr="00CF2E7C" w:rsidRDefault="00340490"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6D79471" w:rsidR="00D4323A" w:rsidRPr="00CF2E7C" w:rsidRDefault="00340490"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462C1146" w:rsidR="00D4323A" w:rsidRPr="00CF2E7C" w:rsidRDefault="005256B7"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D49E03A"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4A846FF3" w:rsidR="00D4323A" w:rsidRPr="00CF2E7C" w:rsidRDefault="00340490"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55C78C8D" w:rsidR="00D4323A" w:rsidRPr="00CF2E7C" w:rsidRDefault="00340490"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6367DDCE" w:rsidR="00D4323A" w:rsidRPr="00CF2E7C" w:rsidRDefault="00340490"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22B506D9" w:rsidR="00D4323A" w:rsidRPr="00CF2E7C" w:rsidRDefault="00340490"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5D47299" w:rsidR="00D4323A" w:rsidRPr="00CF2E7C" w:rsidRDefault="00340490"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04F96B7" w:rsidR="00D4323A" w:rsidRPr="00CF2E7C" w:rsidRDefault="00340490"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08558CCD" w:rsidR="00D4323A" w:rsidRPr="00CF2E7C" w:rsidRDefault="00340490"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5074F4B" w:rsidR="00D4323A" w:rsidRPr="00CF2E7C" w:rsidRDefault="00340490"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4A7C7AF3"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2485A242" w:rsidR="00D4323A" w:rsidRPr="00CF2E7C" w:rsidRDefault="00DD472F"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239F7C2E" w:rsidR="00092534" w:rsidRPr="00CF2E7C" w:rsidRDefault="005256B7" w:rsidP="00CF2E7C">
            <w:pPr>
              <w:rPr>
                <w:rFonts w:ascii="Calibri" w:hAnsi="Calibri" w:cs="Calibri"/>
              </w:rPr>
            </w:pPr>
            <w:r>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386BAAB5" w:rsidR="00092534" w:rsidRPr="00CF2E7C" w:rsidRDefault="005256B7"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1580ABDC" w:rsidR="00092534" w:rsidRPr="00CF2E7C" w:rsidRDefault="005256B7" w:rsidP="00CF2E7C">
            <w:pPr>
              <w:rPr>
                <w:rFonts w:ascii="Calibri" w:hAnsi="Calibri" w:cs="Calibri"/>
              </w:rPr>
            </w:pPr>
            <w:r>
              <w:rPr>
                <w:rFonts w:ascii="Calibri" w:hAnsi="Calibri" w:cs="Calibri"/>
              </w:rPr>
              <w:t>X</w:t>
            </w: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044DE30E" w:rsidR="00092534" w:rsidRPr="00CF2E7C" w:rsidRDefault="005256B7" w:rsidP="00CF2E7C">
            <w:pPr>
              <w:rPr>
                <w:rFonts w:ascii="Calibri" w:hAnsi="Calibri" w:cs="Calibri"/>
              </w:rPr>
            </w:pPr>
            <w:r>
              <w:rPr>
                <w:rFonts w:ascii="Calibri" w:hAnsi="Calibri" w:cs="Calibri"/>
              </w:rPr>
              <w:t>X</w:t>
            </w: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3B0C322E" w:rsidR="00092534" w:rsidRPr="00CF2E7C" w:rsidRDefault="005256B7" w:rsidP="00CF2E7C">
            <w:pPr>
              <w:rPr>
                <w:rFonts w:ascii="Calibri" w:hAnsi="Calibri" w:cs="Calibri"/>
              </w:rPr>
            </w:pPr>
            <w:r>
              <w:rPr>
                <w:rFonts w:ascii="Calibri" w:hAnsi="Calibri" w:cs="Calibri"/>
              </w:rPr>
              <w:t>X</w:t>
            </w: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9510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812F2AB" w:rsidR="00092534" w:rsidRPr="00CF2E7C" w:rsidRDefault="00340490"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2C2B916"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5DEDDAFD"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08F6F24E" w:rsidR="00DB1E72" w:rsidRPr="00CF2E7C" w:rsidRDefault="005256B7"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B8EE4B7" w14:textId="216D23D6" w:rsidR="00291721" w:rsidRPr="00291721" w:rsidRDefault="00291721" w:rsidP="00291721">
            <w:pPr>
              <w:jc w:val="both"/>
              <w:rPr>
                <w:rFonts w:ascii="Calibri" w:hAnsi="Calibri" w:cs="Calibri"/>
                <w:lang w:val="en-ID"/>
              </w:rPr>
            </w:pPr>
            <w:r w:rsidRPr="00291721">
              <w:rPr>
                <w:rFonts w:ascii="Calibri" w:hAnsi="Calibri" w:cs="Calibri"/>
                <w:lang w:val="en-ID"/>
              </w:rPr>
              <w:t xml:space="preserve">As stipulated in </w:t>
            </w:r>
            <w:r>
              <w:rPr>
                <w:rFonts w:ascii="Calibri" w:hAnsi="Calibri" w:cs="Calibri"/>
                <w:lang w:val="en-ID"/>
              </w:rPr>
              <w:t>Article</w:t>
            </w:r>
            <w:r w:rsidRPr="00291721">
              <w:rPr>
                <w:rFonts w:ascii="Calibri" w:hAnsi="Calibri" w:cs="Calibri"/>
                <w:lang w:val="en-ID"/>
              </w:rPr>
              <w:t xml:space="preserve"> 69 (7) of </w:t>
            </w:r>
            <w:r>
              <w:rPr>
                <w:rFonts w:ascii="Calibri" w:hAnsi="Calibri" w:cs="Calibri"/>
                <w:lang w:val="en-ID"/>
              </w:rPr>
              <w:t>of the policy tool</w:t>
            </w:r>
            <w:r w:rsidRPr="00291721">
              <w:rPr>
                <w:rFonts w:ascii="Calibri" w:hAnsi="Calibri" w:cs="Calibri"/>
                <w:lang w:val="en-ID"/>
              </w:rPr>
              <w:t>, non-compliance with carbon tax reporting obligations results in administrative monetary fines. Specifically:</w:t>
            </w:r>
          </w:p>
          <w:p w14:paraId="0D6BE546" w14:textId="77777777" w:rsidR="00291721" w:rsidRDefault="00291721" w:rsidP="00291721">
            <w:pPr>
              <w:numPr>
                <w:ilvl w:val="0"/>
                <w:numId w:val="49"/>
              </w:numPr>
              <w:jc w:val="both"/>
              <w:rPr>
                <w:rFonts w:ascii="Calibri" w:hAnsi="Calibri" w:cs="Calibri"/>
                <w:lang w:val="en-ID"/>
              </w:rPr>
            </w:pPr>
            <w:r w:rsidRPr="00291721">
              <w:rPr>
                <w:rFonts w:ascii="Calibri" w:hAnsi="Calibri" w:cs="Calibri"/>
                <w:lang w:val="en-ID"/>
              </w:rPr>
              <w:t>Late submission of Annual Tax Returns (SPT Tahunan) results in a fine equivalent to the late-filing penalty for Corporate Income Tax Returns</w:t>
            </w:r>
            <w:r>
              <w:rPr>
                <w:rFonts w:ascii="Calibri" w:hAnsi="Calibri" w:cs="Calibri"/>
                <w:lang w:val="en-ID"/>
              </w:rPr>
              <w:t>.</w:t>
            </w:r>
          </w:p>
          <w:p w14:paraId="7CC5C002" w14:textId="2921B6BB" w:rsidR="00DB1E72" w:rsidRPr="00291721" w:rsidRDefault="00291721" w:rsidP="00291721">
            <w:pPr>
              <w:numPr>
                <w:ilvl w:val="0"/>
                <w:numId w:val="49"/>
              </w:numPr>
              <w:jc w:val="both"/>
              <w:rPr>
                <w:rFonts w:ascii="Calibri" w:hAnsi="Calibri" w:cs="Calibri"/>
                <w:lang w:val="en-ID"/>
              </w:rPr>
            </w:pPr>
            <w:r w:rsidRPr="00291721">
              <w:rPr>
                <w:rFonts w:ascii="Calibri" w:hAnsi="Calibri" w:cs="Calibri"/>
                <w:lang w:val="en-ID"/>
              </w:rPr>
              <w:t>Late submission of Periodic Tax Returns (SPT Masa) results in a fine equivalent to the late-filing penalty for VAT returns</w:t>
            </w:r>
            <w:r>
              <w:rPr>
                <w:rFonts w:ascii="Calibri" w:hAnsi="Calibri" w:cs="Calibri"/>
                <w:lang w:val="en-ID"/>
              </w:rPr>
              <w: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33436E50" w:rsidR="00092534" w:rsidRPr="00CF2E7C" w:rsidRDefault="00291721"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FC8B09E" w14:textId="0A25E82B" w:rsidR="00092534" w:rsidRDefault="00FE687F" w:rsidP="00FE687F">
            <w:pPr>
              <w:jc w:val="both"/>
              <w:rPr>
                <w:rFonts w:ascii="Calibri" w:hAnsi="Calibri" w:cs="Calibri"/>
                <w:lang w:val="en-ID"/>
              </w:rPr>
            </w:pPr>
            <w:r>
              <w:rPr>
                <w:rFonts w:ascii="Calibri" w:hAnsi="Calibri" w:cs="Calibri"/>
              </w:rPr>
              <w:t xml:space="preserve">Carbon tax was firstly introduced by </w:t>
            </w:r>
            <w:r w:rsidRPr="00FE687F">
              <w:rPr>
                <w:rFonts w:ascii="Calibri" w:hAnsi="Calibri" w:cs="Calibri"/>
                <w:lang w:val="en-ID"/>
              </w:rPr>
              <w:t>Law No. 7 of 2021</w:t>
            </w:r>
            <w:r>
              <w:rPr>
                <w:rFonts w:ascii="Calibri" w:hAnsi="Calibri" w:cs="Calibri"/>
                <w:lang w:val="en-ID"/>
              </w:rPr>
              <w:t xml:space="preserve"> on</w:t>
            </w:r>
            <w:r w:rsidRPr="00FE687F">
              <w:rPr>
                <w:rFonts w:ascii="Calibri" w:hAnsi="Calibri" w:cs="Calibri"/>
                <w:lang w:val="en-ID"/>
              </w:rPr>
              <w:t xml:space="preserve"> Harmonization of Tax Regulations</w:t>
            </w:r>
            <w:r>
              <w:rPr>
                <w:rFonts w:ascii="Calibri" w:hAnsi="Calibri" w:cs="Calibri"/>
                <w:lang w:val="en-ID"/>
              </w:rPr>
              <w:t xml:space="preserve">, this policy tool objectives is limited on </w:t>
            </w:r>
            <w:r w:rsidRPr="00FE687F">
              <w:rPr>
                <w:rFonts w:ascii="Calibri" w:hAnsi="Calibri" w:cs="Calibri"/>
              </w:rPr>
              <w:t>administrative implementing regulation</w:t>
            </w:r>
            <w:r>
              <w:rPr>
                <w:rFonts w:ascii="Calibri" w:hAnsi="Calibri" w:cs="Calibri"/>
                <w:lang w:val="en-ID"/>
              </w:rPr>
              <w:t>. However, the following is the updates on the carbon tax.</w:t>
            </w:r>
          </w:p>
          <w:p w14:paraId="73B5A1F4" w14:textId="38623496" w:rsidR="00D938C2" w:rsidRDefault="00D938C2" w:rsidP="00FE687F">
            <w:pPr>
              <w:jc w:val="both"/>
            </w:pPr>
            <w:hyperlink r:id="rId18" w:history="1">
              <w:r w:rsidRPr="00207844">
                <w:rPr>
                  <w:rStyle w:val="Hyperlink"/>
                </w:rPr>
                <w:t>https://web.archive.org/web/20250702090627/https:/fiskal.kemenkeu.go.id/publikasi/siaran-pers-detil/328</w:t>
              </w:r>
            </w:hyperlink>
          </w:p>
          <w:p w14:paraId="4E9BC062" w14:textId="0F758516" w:rsidR="00FE687F" w:rsidRPr="00CF2E7C" w:rsidRDefault="00D938C2" w:rsidP="00FE687F">
            <w:pPr>
              <w:jc w:val="both"/>
              <w:rPr>
                <w:rFonts w:ascii="Calibri" w:hAnsi="Calibri" w:cs="Calibri"/>
              </w:rPr>
            </w:pPr>
            <w:hyperlink r:id="rId19" w:history="1">
              <w:r w:rsidRPr="00207844">
                <w:rPr>
                  <w:rStyle w:val="Hyperlink"/>
                </w:rPr>
                <w:t>https://web.archive.org/web/20250702090645/https:/www.esdm.go.id/id/berita-unit/direktorat-jenderal-ketenagalistrikan/carbon-tax-diterapkan-di-pembangkitan-per-1-april-2022</w:t>
              </w:r>
            </w:hyperlink>
            <w: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88DBB97" w:rsidR="00092534" w:rsidRPr="00CF2E7C" w:rsidRDefault="00FE687F"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0627409" w:rsidR="00092534" w:rsidRPr="00CF2E7C" w:rsidRDefault="00FE687F"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38CAACD4" w:rsidR="00D46B07" w:rsidRPr="00CF2E7C" w:rsidRDefault="00FE68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F3C7966" w:rsidR="00FD3587" w:rsidRPr="007F2A46" w:rsidRDefault="00FE687F" w:rsidP="007F2A46">
            <w:pPr>
              <w:jc w:val="both"/>
              <w:textAlignment w:val="baseline"/>
              <w:rPr>
                <w:rFonts w:ascii="Calibri" w:eastAsia="Times New Roman" w:hAnsi="Calibri" w:cs="Calibri"/>
                <w:kern w:val="0"/>
                <w:lang w:val="en-ID" w:eastAsia="en-GB"/>
                <w14:ligatures w14:val="none"/>
              </w:rPr>
            </w:pPr>
            <w:r w:rsidRPr="007F2A46">
              <w:rPr>
                <w:rFonts w:ascii="Calibri" w:eastAsia="Times New Roman" w:hAnsi="Calibri" w:cs="Calibri"/>
                <w:kern w:val="0"/>
                <w:lang w:val="en-ID" w:eastAsia="en-GB"/>
                <w14:ligatures w14:val="none"/>
              </w:rPr>
              <w:t>The policy tool</w:t>
            </w:r>
            <w:r w:rsidRPr="00FE687F">
              <w:rPr>
                <w:rFonts w:ascii="Calibri" w:eastAsia="Times New Roman" w:hAnsi="Calibri" w:cs="Calibri"/>
                <w:kern w:val="0"/>
                <w:lang w:val="en-ID" w:eastAsia="en-GB"/>
                <w14:ligatures w14:val="none"/>
              </w:rPr>
              <w:t xml:space="preserve"> serves to operationalize the administrative procedures for the collection, payment, reporting, and enforcement of the carbon tax, as introduced in Law No. 7 of 2021.</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3F99258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140EC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2ACAA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150D53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B57189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1757CB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E28A083" w:rsidR="00343937" w:rsidRPr="00CF2E7C" w:rsidRDefault="007F2A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7A2959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35166B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4DE88C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831C4F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85CD6D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2CABFE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D5DDDB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50FCFD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AA4FF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26DBC23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A46">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7B5B6BA" w:rsidR="000A6F11" w:rsidRPr="00CF2E7C" w:rsidRDefault="007F2A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4CCA80" w14:textId="0045A78C" w:rsidR="007F2A46" w:rsidRPr="007F2A46" w:rsidRDefault="007F2A46" w:rsidP="007F2A46">
            <w:pPr>
              <w:jc w:val="both"/>
              <w:textAlignment w:val="baseline"/>
              <w:rPr>
                <w:rFonts w:eastAsia="Times New Roman" w:cstheme="minorHAnsi"/>
                <w:kern w:val="0"/>
                <w:lang w:val="en-ID" w:eastAsia="en-GB"/>
                <w14:ligatures w14:val="none"/>
              </w:rPr>
            </w:pPr>
            <w:r>
              <w:rPr>
                <w:rFonts w:eastAsia="Times New Roman" w:cstheme="minorHAnsi"/>
                <w:kern w:val="0"/>
                <w:lang w:val="en-ID" w:eastAsia="en-GB"/>
                <w14:ligatures w14:val="none"/>
              </w:rPr>
              <w:t>This policy tool</w:t>
            </w:r>
            <w:r w:rsidRPr="007F2A46">
              <w:rPr>
                <w:rFonts w:eastAsia="Times New Roman" w:cstheme="minorHAnsi"/>
                <w:kern w:val="0"/>
                <w:lang w:val="en-ID" w:eastAsia="en-GB"/>
                <w14:ligatures w14:val="none"/>
              </w:rPr>
              <w:t xml:space="preserve"> is designed to regulate the procedures</w:t>
            </w:r>
            <w:r>
              <w:rPr>
                <w:rFonts w:eastAsia="Times New Roman" w:cstheme="minorHAnsi"/>
                <w:kern w:val="0"/>
                <w:lang w:val="en-ID" w:eastAsia="en-GB"/>
                <w14:ligatures w14:val="none"/>
              </w:rPr>
              <w:t xml:space="preserve"> </w:t>
            </w:r>
            <w:r w:rsidRPr="007F2A46">
              <w:rPr>
                <w:rFonts w:eastAsia="Times New Roman" w:cstheme="minorHAnsi"/>
                <w:kern w:val="0"/>
                <w:lang w:val="en-ID" w:eastAsia="en-GB"/>
                <w14:ligatures w14:val="none"/>
              </w:rPr>
              <w:t>for exercising rights and fulfilling obligations in Indonesia’s tax system. It serves as a follow-up regulation to Law No. 7 of 2021 on the Harmonization of Tax Regulations, which formally introduced the carbon tax.</w:t>
            </w:r>
          </w:p>
          <w:p w14:paraId="47017162" w14:textId="76670A23" w:rsidR="007F2A46" w:rsidRPr="007F2A46" w:rsidRDefault="007F2A46" w:rsidP="007F2A46">
            <w:pPr>
              <w:jc w:val="both"/>
              <w:textAlignment w:val="baseline"/>
              <w:rPr>
                <w:rFonts w:eastAsia="Times New Roman" w:cstheme="minorHAnsi"/>
                <w:kern w:val="0"/>
                <w:lang w:val="en-ID" w:eastAsia="en-GB"/>
                <w14:ligatures w14:val="none"/>
              </w:rPr>
            </w:pPr>
            <w:r>
              <w:rPr>
                <w:rFonts w:eastAsia="Times New Roman" w:cstheme="minorHAnsi"/>
                <w:kern w:val="0"/>
                <w:lang w:val="en-ID" w:eastAsia="en-GB"/>
                <w14:ligatures w14:val="none"/>
              </w:rPr>
              <w:t>It</w:t>
            </w:r>
            <w:r w:rsidRPr="007F2A46">
              <w:rPr>
                <w:rFonts w:eastAsia="Times New Roman" w:cstheme="minorHAnsi"/>
                <w:kern w:val="0"/>
                <w:lang w:val="en-ID" w:eastAsia="en-GB"/>
                <w14:ligatures w14:val="none"/>
              </w:rPr>
              <w:t xml:space="preserve"> explains how taxpayers should comply with it</w:t>
            </w:r>
            <w:r>
              <w:rPr>
                <w:rFonts w:eastAsia="Times New Roman" w:cstheme="minorHAnsi"/>
                <w:kern w:val="0"/>
                <w:lang w:val="en-ID" w:eastAsia="en-GB"/>
                <w14:ligatures w14:val="none"/>
              </w:rPr>
              <w:t xml:space="preserve">, </w:t>
            </w:r>
            <w:r w:rsidRPr="007F2A46">
              <w:rPr>
                <w:rFonts w:eastAsia="Times New Roman" w:cstheme="minorHAnsi"/>
                <w:kern w:val="0"/>
                <w:lang w:val="en-ID" w:eastAsia="en-GB"/>
                <w14:ligatures w14:val="none"/>
              </w:rPr>
              <w:t>including who is taxed, how they pay, how they report it, and what sanctions apply if they don’t. It includes rules on:</w:t>
            </w:r>
          </w:p>
          <w:p w14:paraId="1D679120" w14:textId="77777777" w:rsidR="007F2A46" w:rsidRPr="007F2A46" w:rsidRDefault="007F2A46" w:rsidP="007F2A46">
            <w:pPr>
              <w:numPr>
                <w:ilvl w:val="0"/>
                <w:numId w:val="52"/>
              </w:numPr>
              <w:jc w:val="both"/>
              <w:textAlignment w:val="baseline"/>
              <w:rPr>
                <w:rFonts w:eastAsia="Times New Roman" w:cstheme="minorHAnsi"/>
                <w:kern w:val="0"/>
                <w:lang w:val="en-ID" w:eastAsia="en-GB"/>
                <w14:ligatures w14:val="none"/>
              </w:rPr>
            </w:pPr>
            <w:r w:rsidRPr="007F2A46">
              <w:rPr>
                <w:rFonts w:eastAsia="Times New Roman" w:cstheme="minorHAnsi"/>
                <w:kern w:val="0"/>
                <w:lang w:val="en-ID" w:eastAsia="en-GB"/>
                <w14:ligatures w14:val="none"/>
              </w:rPr>
              <w:t>Who must pay carbon tax (Wajib Pajak) if they emit carbon;</w:t>
            </w:r>
          </w:p>
          <w:p w14:paraId="293727E8" w14:textId="77777777" w:rsidR="007F2A46" w:rsidRPr="007F2A46" w:rsidRDefault="007F2A46" w:rsidP="007F2A46">
            <w:pPr>
              <w:numPr>
                <w:ilvl w:val="0"/>
                <w:numId w:val="52"/>
              </w:numPr>
              <w:jc w:val="both"/>
              <w:textAlignment w:val="baseline"/>
              <w:rPr>
                <w:rFonts w:eastAsia="Times New Roman" w:cstheme="minorHAnsi"/>
                <w:kern w:val="0"/>
                <w:lang w:val="en-ID" w:eastAsia="en-GB"/>
                <w14:ligatures w14:val="none"/>
              </w:rPr>
            </w:pPr>
            <w:r w:rsidRPr="007F2A46">
              <w:rPr>
                <w:rFonts w:eastAsia="Times New Roman" w:cstheme="minorHAnsi"/>
                <w:kern w:val="0"/>
                <w:lang w:val="en-ID" w:eastAsia="en-GB"/>
                <w14:ligatures w14:val="none"/>
              </w:rPr>
              <w:t>How and when to report it (via SPT Tahunan or SPT Masa);</w:t>
            </w:r>
          </w:p>
          <w:p w14:paraId="4402BA5C" w14:textId="77777777" w:rsidR="007F2A46" w:rsidRPr="007F2A46" w:rsidRDefault="007F2A46" w:rsidP="007F2A46">
            <w:pPr>
              <w:numPr>
                <w:ilvl w:val="0"/>
                <w:numId w:val="52"/>
              </w:numPr>
              <w:jc w:val="both"/>
              <w:textAlignment w:val="baseline"/>
              <w:rPr>
                <w:rFonts w:eastAsia="Times New Roman" w:cstheme="minorHAnsi"/>
                <w:kern w:val="0"/>
                <w:lang w:val="en-ID" w:eastAsia="en-GB"/>
                <w14:ligatures w14:val="none"/>
              </w:rPr>
            </w:pPr>
            <w:r w:rsidRPr="007F2A46">
              <w:rPr>
                <w:rFonts w:eastAsia="Times New Roman" w:cstheme="minorHAnsi"/>
                <w:kern w:val="0"/>
                <w:lang w:val="en-ID" w:eastAsia="en-GB"/>
                <w14:ligatures w14:val="none"/>
              </w:rPr>
              <w:t>Sanctions if reports are late or incomplete (administrative fines);</w:t>
            </w:r>
          </w:p>
          <w:p w14:paraId="37B43569" w14:textId="77777777" w:rsidR="007F2A46" w:rsidRPr="007F2A46" w:rsidRDefault="007F2A46" w:rsidP="007F2A46">
            <w:pPr>
              <w:numPr>
                <w:ilvl w:val="0"/>
                <w:numId w:val="52"/>
              </w:numPr>
              <w:jc w:val="both"/>
              <w:textAlignment w:val="baseline"/>
              <w:rPr>
                <w:rFonts w:eastAsia="Times New Roman" w:cstheme="minorHAnsi"/>
                <w:kern w:val="0"/>
                <w:lang w:val="en-ID" w:eastAsia="en-GB"/>
                <w14:ligatures w14:val="none"/>
              </w:rPr>
            </w:pPr>
            <w:r w:rsidRPr="007F2A46">
              <w:rPr>
                <w:rFonts w:eastAsia="Times New Roman" w:cstheme="minorHAnsi"/>
                <w:kern w:val="0"/>
                <w:lang w:val="en-ID" w:eastAsia="en-GB"/>
                <w14:ligatures w14:val="none"/>
              </w:rPr>
              <w:t>Obligation to keep proper records of emission-generating activities;</w:t>
            </w:r>
          </w:p>
          <w:p w14:paraId="1771DCC1" w14:textId="77777777" w:rsidR="007F2A46" w:rsidRPr="007F2A46" w:rsidRDefault="007F2A46" w:rsidP="007F2A46">
            <w:pPr>
              <w:numPr>
                <w:ilvl w:val="0"/>
                <w:numId w:val="52"/>
              </w:numPr>
              <w:jc w:val="both"/>
              <w:textAlignment w:val="baseline"/>
              <w:rPr>
                <w:rFonts w:eastAsia="Times New Roman" w:cstheme="minorHAnsi"/>
                <w:kern w:val="0"/>
                <w:lang w:val="en-ID" w:eastAsia="en-GB"/>
                <w14:ligatures w14:val="none"/>
              </w:rPr>
            </w:pPr>
            <w:r w:rsidRPr="007F2A46">
              <w:rPr>
                <w:rFonts w:eastAsia="Times New Roman" w:cstheme="minorHAnsi"/>
                <w:kern w:val="0"/>
                <w:lang w:val="en-ID" w:eastAsia="en-GB"/>
                <w14:ligatures w14:val="none"/>
              </w:rPr>
              <w:t>Delegation of technical details (like who collects the tax or who is exempt) to future ministerial regulations.</w:t>
            </w:r>
          </w:p>
          <w:p w14:paraId="305DE2E6" w14:textId="12DDD804" w:rsidR="00702413" w:rsidRPr="007F2A46" w:rsidRDefault="007F2A46" w:rsidP="007F2A46">
            <w:pPr>
              <w:jc w:val="both"/>
              <w:textAlignment w:val="baseline"/>
              <w:rPr>
                <w:rFonts w:eastAsia="Times New Roman" w:cstheme="minorHAnsi"/>
                <w:kern w:val="0"/>
                <w:lang w:val="en-ID" w:eastAsia="en-GB"/>
                <w14:ligatures w14:val="none"/>
              </w:rPr>
            </w:pPr>
            <w:r w:rsidRPr="007F2A46">
              <w:rPr>
                <w:rFonts w:eastAsia="Times New Roman" w:cstheme="minorHAnsi"/>
                <w:kern w:val="0"/>
                <w:lang w:val="en-ID" w:eastAsia="en-GB"/>
                <w14:ligatures w14:val="none"/>
              </w:rPr>
              <w:t>In short, PP 50/2022 is a supporting regulation that ensures the carbon tax runs procedurally and administratively well, but it does not address market mechanisms, carbon credits, or emissions trading.</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9510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9510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D79B26" w14:textId="77777777" w:rsidR="00E07E5E" w:rsidRDefault="00E07E5E" w:rsidP="00874E39">
      <w:r>
        <w:separator/>
      </w:r>
    </w:p>
  </w:endnote>
  <w:endnote w:type="continuationSeparator" w:id="0">
    <w:p w14:paraId="49986784" w14:textId="77777777" w:rsidR="00E07E5E" w:rsidRDefault="00E07E5E" w:rsidP="00874E39">
      <w:r>
        <w:continuationSeparator/>
      </w:r>
    </w:p>
  </w:endnote>
  <w:endnote w:type="continuationNotice" w:id="1">
    <w:p w14:paraId="726EE720" w14:textId="77777777" w:rsidR="00E07E5E" w:rsidRDefault="00E07E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6AABBD" w14:textId="77777777" w:rsidR="00E07E5E" w:rsidRDefault="00E07E5E" w:rsidP="00874E39">
      <w:r>
        <w:separator/>
      </w:r>
    </w:p>
  </w:footnote>
  <w:footnote w:type="continuationSeparator" w:id="0">
    <w:p w14:paraId="12E49E79" w14:textId="77777777" w:rsidR="00E07E5E" w:rsidRDefault="00E07E5E" w:rsidP="00874E39">
      <w:r>
        <w:continuationSeparator/>
      </w:r>
    </w:p>
  </w:footnote>
  <w:footnote w:type="continuationNotice" w:id="1">
    <w:p w14:paraId="08FDE409" w14:textId="77777777" w:rsidR="00E07E5E" w:rsidRDefault="00E07E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7406F94"/>
    <w:multiLevelType w:val="multilevel"/>
    <w:tmpl w:val="DE36625E"/>
    <w:lvl w:ilvl="0">
      <w:start w:val="1"/>
      <w:numFmt w:val="lowerRoman"/>
      <w:lvlText w:val="(%1)."/>
      <w:lvlJc w:val="righ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580E48"/>
    <w:multiLevelType w:val="multilevel"/>
    <w:tmpl w:val="23107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E1029C2"/>
    <w:multiLevelType w:val="multilevel"/>
    <w:tmpl w:val="DE36625E"/>
    <w:lvl w:ilvl="0">
      <w:start w:val="1"/>
      <w:numFmt w:val="lowerRoman"/>
      <w:lvlText w:val="(%1)."/>
      <w:lvlJc w:val="righ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C9C4C6E"/>
    <w:multiLevelType w:val="multilevel"/>
    <w:tmpl w:val="9216E3F6"/>
    <w:lvl w:ilvl="0">
      <w:start w:val="1"/>
      <w:numFmt w:val="lowerRoman"/>
      <w:lvlText w:val="(%1)."/>
      <w:lvlJc w:val="righ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8"/>
  </w:num>
  <w:num w:numId="2" w16cid:durableId="482308869">
    <w:abstractNumId w:val="26"/>
  </w:num>
  <w:num w:numId="3" w16cid:durableId="690952733">
    <w:abstractNumId w:val="44"/>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21"/>
  </w:num>
  <w:num w:numId="17" w16cid:durableId="1529031027">
    <w:abstractNumId w:val="8"/>
  </w:num>
  <w:num w:numId="18" w16cid:durableId="568614617">
    <w:abstractNumId w:val="19"/>
  </w:num>
  <w:num w:numId="19" w16cid:durableId="1530605858">
    <w:abstractNumId w:val="45"/>
  </w:num>
  <w:num w:numId="20" w16cid:durableId="1328172586">
    <w:abstractNumId w:val="17"/>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5"/>
  </w:num>
  <w:num w:numId="27" w16cid:durableId="347872198">
    <w:abstractNumId w:val="6"/>
  </w:num>
  <w:num w:numId="28" w16cid:durableId="537133110">
    <w:abstractNumId w:val="12"/>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49"/>
  </w:num>
  <w:num w:numId="47" w16cid:durableId="342588554">
    <w:abstractNumId w:val="28"/>
  </w:num>
  <w:num w:numId="48" w16cid:durableId="318391343">
    <w:abstractNumId w:val="39"/>
  </w:num>
  <w:num w:numId="49" w16cid:durableId="1302535337">
    <w:abstractNumId w:val="51"/>
  </w:num>
  <w:num w:numId="50" w16cid:durableId="396826814">
    <w:abstractNumId w:val="16"/>
  </w:num>
  <w:num w:numId="51" w16cid:durableId="105080635">
    <w:abstractNumId w:val="13"/>
  </w:num>
  <w:num w:numId="52" w16cid:durableId="2057896405">
    <w:abstractNumId w:val="2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F73"/>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6A5"/>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0ED"/>
    <w:rsid w:val="002912CD"/>
    <w:rsid w:val="0029172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4E2"/>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7A1"/>
    <w:rsid w:val="003310EC"/>
    <w:rsid w:val="00331C00"/>
    <w:rsid w:val="00334282"/>
    <w:rsid w:val="003363CC"/>
    <w:rsid w:val="0033659B"/>
    <w:rsid w:val="0033727F"/>
    <w:rsid w:val="00340490"/>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914"/>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049"/>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3E"/>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1E7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6B7"/>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D94"/>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520"/>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A46"/>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97A"/>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033"/>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1A"/>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543"/>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8C2"/>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72F"/>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7FE"/>
    <w:rsid w:val="00E03A10"/>
    <w:rsid w:val="00E03F7B"/>
    <w:rsid w:val="00E04C04"/>
    <w:rsid w:val="00E054E4"/>
    <w:rsid w:val="00E07E5E"/>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70C"/>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09"/>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87F"/>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894860">
      <w:bodyDiv w:val="1"/>
      <w:marLeft w:val="0"/>
      <w:marRight w:val="0"/>
      <w:marTop w:val="0"/>
      <w:marBottom w:val="0"/>
      <w:divBdr>
        <w:top w:val="none" w:sz="0" w:space="0" w:color="auto"/>
        <w:left w:val="none" w:sz="0" w:space="0" w:color="auto"/>
        <w:bottom w:val="none" w:sz="0" w:space="0" w:color="auto"/>
        <w:right w:val="none" w:sz="0" w:space="0" w:color="auto"/>
      </w:divBdr>
    </w:div>
    <w:div w:id="336807278">
      <w:bodyDiv w:val="1"/>
      <w:marLeft w:val="0"/>
      <w:marRight w:val="0"/>
      <w:marTop w:val="0"/>
      <w:marBottom w:val="0"/>
      <w:divBdr>
        <w:top w:val="none" w:sz="0" w:space="0" w:color="auto"/>
        <w:left w:val="none" w:sz="0" w:space="0" w:color="auto"/>
        <w:bottom w:val="none" w:sz="0" w:space="0" w:color="auto"/>
        <w:right w:val="none" w:sz="0" w:space="0" w:color="auto"/>
      </w:divBdr>
    </w:div>
    <w:div w:id="55335281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942595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416836">
      <w:bodyDiv w:val="1"/>
      <w:marLeft w:val="0"/>
      <w:marRight w:val="0"/>
      <w:marTop w:val="0"/>
      <w:marBottom w:val="0"/>
      <w:divBdr>
        <w:top w:val="none" w:sz="0" w:space="0" w:color="auto"/>
        <w:left w:val="none" w:sz="0" w:space="0" w:color="auto"/>
        <w:bottom w:val="none" w:sz="0" w:space="0" w:color="auto"/>
        <w:right w:val="none" w:sz="0" w:space="0" w:color="auto"/>
      </w:divBdr>
    </w:div>
    <w:div w:id="1057047403">
      <w:bodyDiv w:val="1"/>
      <w:marLeft w:val="0"/>
      <w:marRight w:val="0"/>
      <w:marTop w:val="0"/>
      <w:marBottom w:val="0"/>
      <w:divBdr>
        <w:top w:val="none" w:sz="0" w:space="0" w:color="auto"/>
        <w:left w:val="none" w:sz="0" w:space="0" w:color="auto"/>
        <w:bottom w:val="none" w:sz="0" w:space="0" w:color="auto"/>
        <w:right w:val="none" w:sz="0" w:space="0" w:color="auto"/>
      </w:divBdr>
    </w:div>
    <w:div w:id="1097597171">
      <w:bodyDiv w:val="1"/>
      <w:marLeft w:val="0"/>
      <w:marRight w:val="0"/>
      <w:marTop w:val="0"/>
      <w:marBottom w:val="0"/>
      <w:divBdr>
        <w:top w:val="none" w:sz="0" w:space="0" w:color="auto"/>
        <w:left w:val="none" w:sz="0" w:space="0" w:color="auto"/>
        <w:bottom w:val="none" w:sz="0" w:space="0" w:color="auto"/>
        <w:right w:val="none" w:sz="0" w:space="0" w:color="auto"/>
      </w:divBdr>
    </w:div>
    <w:div w:id="114022783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087408">
      <w:bodyDiv w:val="1"/>
      <w:marLeft w:val="0"/>
      <w:marRight w:val="0"/>
      <w:marTop w:val="0"/>
      <w:marBottom w:val="0"/>
      <w:divBdr>
        <w:top w:val="none" w:sz="0" w:space="0" w:color="auto"/>
        <w:left w:val="none" w:sz="0" w:space="0" w:color="auto"/>
        <w:bottom w:val="none" w:sz="0" w:space="0" w:color="auto"/>
        <w:right w:val="none" w:sz="0" w:space="0" w:color="auto"/>
      </w:divBdr>
    </w:div>
    <w:div w:id="1407264298">
      <w:bodyDiv w:val="1"/>
      <w:marLeft w:val="0"/>
      <w:marRight w:val="0"/>
      <w:marTop w:val="0"/>
      <w:marBottom w:val="0"/>
      <w:divBdr>
        <w:top w:val="none" w:sz="0" w:space="0" w:color="auto"/>
        <w:left w:val="none" w:sz="0" w:space="0" w:color="auto"/>
        <w:bottom w:val="none" w:sz="0" w:space="0" w:color="auto"/>
        <w:right w:val="none" w:sz="0" w:space="0" w:color="auto"/>
      </w:divBdr>
    </w:div>
    <w:div w:id="163428908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7980039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2090627/https:/fiskal.kemenkeu.go.id/publikasi/siaran-pers-detil/328"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090553/https:/peraturan.bpk.go.id/Download/280141/PP%20Nomor%2050%20Tahun%202022.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2090645/https:/www.esdm.go.id/id/berita-unit/direktorat-jenderal-ketenagalistrikan/carbon-tax-diterapkan-di-pembangkitan-per-1-april-202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1</Pages>
  <Words>21481</Words>
  <Characters>128248</Characters>
  <Application>Microsoft Office Word</Application>
  <DocSecurity>0</DocSecurity>
  <Lines>8549</Lines>
  <Paragraphs>4679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8</cp:revision>
  <cp:lastPrinted>2025-03-21T00:14:00Z</cp:lastPrinted>
  <dcterms:created xsi:type="dcterms:W3CDTF">2025-06-30T08:51:00Z</dcterms:created>
  <dcterms:modified xsi:type="dcterms:W3CDTF">2025-07-06T05:57:00Z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55875a61-68ed-45c8-b744-85de717b59c2</vt:lpwstr>
  </property>
</Properties>
</file>